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1BB3EBF2"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364DA6">
        <w:rPr>
          <w:rFonts w:ascii="Arial" w:hAnsi="Arial" w:cs="Arial"/>
          <w:b/>
          <w:bCs/>
          <w:sz w:val="22"/>
        </w:rPr>
        <w:t>6</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D21701" w:rsidRPr="00D21701">
        <w:rPr>
          <w:rFonts w:ascii="Arial" w:hAnsi="Arial" w:cs="Arial"/>
          <w:b/>
          <w:bCs/>
          <w:sz w:val="22"/>
        </w:rPr>
        <w:t>RP-19</w:t>
      </w:r>
      <w:r w:rsidR="00364DA6">
        <w:rPr>
          <w:rFonts w:ascii="Arial" w:hAnsi="Arial" w:cs="Arial"/>
          <w:b/>
          <w:bCs/>
          <w:sz w:val="22"/>
        </w:rPr>
        <w:t>2918</w:t>
      </w:r>
    </w:p>
    <w:p w14:paraId="0351D878" w14:textId="606A5F1B" w:rsidR="0066434B" w:rsidRPr="00341F45" w:rsidRDefault="00364DA6" w:rsidP="00341F45">
      <w:pPr>
        <w:tabs>
          <w:tab w:val="left" w:pos="1985"/>
          <w:tab w:val="right" w:pos="9422"/>
        </w:tabs>
        <w:spacing w:after="0"/>
        <w:jc w:val="both"/>
        <w:rPr>
          <w:rFonts w:ascii="Arial" w:hAnsi="Arial" w:cs="Arial"/>
          <w:b/>
          <w:bCs/>
          <w:sz w:val="22"/>
        </w:rPr>
      </w:pPr>
      <w:r>
        <w:rPr>
          <w:rFonts w:ascii="Arial" w:hAnsi="Arial" w:cs="Arial"/>
          <w:b/>
          <w:bCs/>
          <w:sz w:val="22"/>
        </w:rPr>
        <w:t>Sitges</w:t>
      </w:r>
      <w:r w:rsidR="00D21701" w:rsidRPr="00D21701">
        <w:rPr>
          <w:rFonts w:ascii="Arial" w:hAnsi="Arial" w:cs="Arial"/>
          <w:b/>
          <w:bCs/>
          <w:sz w:val="22"/>
        </w:rPr>
        <w:t xml:space="preserve">, </w:t>
      </w:r>
      <w:r>
        <w:rPr>
          <w:rFonts w:ascii="Arial" w:hAnsi="Arial" w:cs="Arial"/>
          <w:b/>
          <w:bCs/>
          <w:sz w:val="22"/>
        </w:rPr>
        <w:t>Spain</w:t>
      </w:r>
      <w:r w:rsidR="00D21701" w:rsidRPr="00D21701">
        <w:rPr>
          <w:rFonts w:ascii="Arial" w:hAnsi="Arial" w:cs="Arial"/>
          <w:b/>
          <w:bCs/>
          <w:sz w:val="22"/>
        </w:rPr>
        <w:t xml:space="preserve">, </w:t>
      </w:r>
      <w:r>
        <w:rPr>
          <w:rFonts w:ascii="Arial" w:hAnsi="Arial" w:cs="Arial"/>
          <w:b/>
          <w:bCs/>
          <w:sz w:val="22"/>
        </w:rPr>
        <w:t>December 9-12</w:t>
      </w:r>
      <w:r w:rsidR="00D21701" w:rsidRPr="00D21701">
        <w:rPr>
          <w:rFonts w:ascii="Arial" w:hAnsi="Arial" w:cs="Arial"/>
          <w:b/>
          <w:bCs/>
          <w:sz w:val="22"/>
        </w:rPr>
        <w:t>, 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1C189886"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16A67">
        <w:rPr>
          <w:rFonts w:ascii="Arial" w:hAnsi="Arial"/>
          <w:sz w:val="22"/>
        </w:rPr>
        <w:t>9</w:t>
      </w:r>
      <w:r w:rsidR="007014E6">
        <w:rPr>
          <w:rFonts w:ascii="Arial" w:hAnsi="Arial"/>
          <w:sz w:val="22"/>
        </w:rPr>
        <w:t>.</w:t>
      </w:r>
      <w:r w:rsidR="00364DA6">
        <w:rPr>
          <w:rFonts w:ascii="Arial" w:hAnsi="Arial"/>
          <w:sz w:val="22"/>
        </w:rPr>
        <w:t>10</w:t>
      </w:r>
    </w:p>
    <w:p w14:paraId="0482CD35" w14:textId="666A1ACA"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0B94226A"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364DA6" w:rsidRPr="00364DA6">
        <w:rPr>
          <w:rFonts w:ascii="Arial" w:hAnsi="Arial"/>
        </w:rPr>
        <w:t>On Rel-16 UE features and capabilities</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1FE3636E" w14:textId="2A86FCC9" w:rsidR="005F4BCC" w:rsidRPr="005F4BCC" w:rsidRDefault="00272A80" w:rsidP="008B01BF">
      <w:pPr>
        <w:spacing w:after="0"/>
        <w:jc w:val="both"/>
        <w:rPr>
          <w:b/>
          <w:lang w:val="en-US"/>
        </w:rPr>
      </w:pPr>
      <w:r>
        <w:rPr>
          <w:bCs/>
        </w:rPr>
        <w:t>RAN1 WIs have been scheduled for completion in December 2019, and the related work on compiling the UE capabilities and RRC</w:t>
      </w:r>
      <w:r w:rsidR="005C11C8">
        <w:rPr>
          <w:bCs/>
        </w:rPr>
        <w:t xml:space="preserve"> configuration</w:t>
      </w:r>
      <w:r>
        <w:rPr>
          <w:bCs/>
        </w:rPr>
        <w:t xml:space="preserve"> parameters have started in the last quarter. In this contribution </w:t>
      </w:r>
      <w:r w:rsidR="00825CC1">
        <w:rPr>
          <w:bCs/>
        </w:rPr>
        <w:t xml:space="preserve">we </w:t>
      </w:r>
      <w:r>
        <w:rPr>
          <w:bCs/>
        </w:rPr>
        <w:t xml:space="preserve">provide our views on how to move </w:t>
      </w:r>
      <w:r w:rsidR="00825CC1">
        <w:rPr>
          <w:bCs/>
        </w:rPr>
        <w:t>on this issue.</w:t>
      </w:r>
    </w:p>
    <w:p w14:paraId="716FF482" w14:textId="73BD239B" w:rsidR="005F4BCC" w:rsidRPr="00DA6590" w:rsidRDefault="005F4BCC" w:rsidP="005F4BCC">
      <w:pPr>
        <w:spacing w:after="0"/>
        <w:jc w:val="both"/>
        <w:rPr>
          <w:lang w:val="en-US" w:eastAsia="zh-CN"/>
        </w:rPr>
      </w:pPr>
    </w:p>
    <w:p w14:paraId="3A4FB463" w14:textId="00EC01CE" w:rsidR="00CB16FB" w:rsidRPr="00DD3C8B" w:rsidRDefault="00272A80" w:rsidP="005F4BCC">
      <w:pPr>
        <w:pStyle w:val="Heading1"/>
        <w:rPr>
          <w:rFonts w:cs="Arial"/>
        </w:rPr>
      </w:pPr>
      <w:r>
        <w:t>Lessons learned from Rel-15</w:t>
      </w:r>
    </w:p>
    <w:p w14:paraId="11D4F1AB" w14:textId="77777777" w:rsidR="001D0067" w:rsidRDefault="00272A80" w:rsidP="007738B9">
      <w:pPr>
        <w:rPr>
          <w:bCs/>
        </w:rPr>
      </w:pPr>
      <w:r w:rsidRPr="00272A80">
        <w:rPr>
          <w:bCs/>
        </w:rPr>
        <w:t>The UE features and capabilities have been discussed extensively in Rel-15</w:t>
      </w:r>
      <w:r>
        <w:rPr>
          <w:bCs/>
        </w:rPr>
        <w:t xml:space="preserve">, </w:t>
      </w:r>
      <w:r w:rsidR="001E2A06">
        <w:rPr>
          <w:bCs/>
        </w:rPr>
        <w:t xml:space="preserve">which is natural given that it was the first release of a new RAT. </w:t>
      </w:r>
      <w:r w:rsidR="001D0067">
        <w:rPr>
          <w:bCs/>
        </w:rPr>
        <w:t xml:space="preserve">However, it is also acknowledged that after initial version of UE feature list was available in the working groups it took significant time to converge on a final set, including RAN Plenaries and RAN WG meetings. </w:t>
      </w:r>
    </w:p>
    <w:p w14:paraId="126642A1" w14:textId="6484D409" w:rsidR="005E3695" w:rsidRDefault="001D0067" w:rsidP="007738B9">
      <w:pPr>
        <w:rPr>
          <w:bCs/>
        </w:rPr>
      </w:pPr>
      <w:r>
        <w:rPr>
          <w:bCs/>
        </w:rPr>
        <w:t xml:space="preserve">One could argue that one reason for the difficulties in achieving a converged set of features is due to the sheer size of the UE capabilities in NR, but part of the reason lies on the fact that the Rel-15 UE features became fragmented into several smaller capabilities which are intricately related to each other. </w:t>
      </w:r>
      <w:r w:rsidR="005E3695">
        <w:rPr>
          <w:bCs/>
        </w:rPr>
        <w:t>Moreover, many of the capabilities have been defined with direct mapping to the RRC parameters, such that the UE indicates not only the support of the capability itself</w:t>
      </w:r>
      <w:r w:rsidR="00BE718C">
        <w:rPr>
          <w:bCs/>
        </w:rPr>
        <w:t>,</w:t>
      </w:r>
      <w:r w:rsidR="005E3695">
        <w:rPr>
          <w:bCs/>
        </w:rPr>
        <w:t xml:space="preserve"> but it also indicates at the same time to which extent it is supported. </w:t>
      </w:r>
    </w:p>
    <w:p w14:paraId="45F9A8F3" w14:textId="475BEA47" w:rsidR="0050375A" w:rsidRPr="00272A80" w:rsidRDefault="005E3695" w:rsidP="005E3695">
      <w:pPr>
        <w:rPr>
          <w:bCs/>
        </w:rPr>
      </w:pPr>
      <w:r>
        <w:rPr>
          <w:bCs/>
        </w:rPr>
        <w:t xml:space="preserve">It has been discussed in multiple occasions in RAN, see [1-2], that this approach leads to additional complication for network implementation </w:t>
      </w:r>
      <w:r w:rsidR="009E3AB2">
        <w:rPr>
          <w:bCs/>
        </w:rPr>
        <w:t>as</w:t>
      </w:r>
      <w:r>
        <w:rPr>
          <w:bCs/>
        </w:rPr>
        <w:t xml:space="preserve"> different UEs will implement even the </w:t>
      </w:r>
      <w:r w:rsidR="0038665A">
        <w:rPr>
          <w:bCs/>
        </w:rPr>
        <w:t xml:space="preserve">mandatory </w:t>
      </w:r>
      <w:r>
        <w:rPr>
          <w:bCs/>
        </w:rPr>
        <w:t xml:space="preserve">NR features with different flavours, leading to fragmentation on the market. While the issue has been widely recognized, it </w:t>
      </w:r>
      <w:r w:rsidR="0038665A">
        <w:rPr>
          <w:bCs/>
        </w:rPr>
        <w:t xml:space="preserve">has not been addressed further for Rel-15. </w:t>
      </w:r>
    </w:p>
    <w:p w14:paraId="623ACDEC" w14:textId="77777777" w:rsidR="00272A80" w:rsidRPr="00DA6590" w:rsidRDefault="00272A80" w:rsidP="00272A80">
      <w:pPr>
        <w:spacing w:after="0"/>
        <w:jc w:val="both"/>
        <w:rPr>
          <w:lang w:val="en-US" w:eastAsia="zh-CN"/>
        </w:rPr>
      </w:pPr>
    </w:p>
    <w:p w14:paraId="04FAC735" w14:textId="0750E12C" w:rsidR="00272A80" w:rsidRPr="00DD3C8B" w:rsidRDefault="004E1F6E" w:rsidP="00272A80">
      <w:pPr>
        <w:pStyle w:val="Heading1"/>
        <w:rPr>
          <w:rFonts w:cs="Arial"/>
        </w:rPr>
      </w:pPr>
      <w:r>
        <w:t>Suggested w</w:t>
      </w:r>
      <w:r w:rsidR="00272A80">
        <w:t>ay forward with UE capabilities in Rel-16</w:t>
      </w:r>
    </w:p>
    <w:p w14:paraId="147B88C6" w14:textId="0F5C0572" w:rsidR="00272A80" w:rsidRDefault="0038665A" w:rsidP="007738B9">
      <w:pPr>
        <w:rPr>
          <w:bCs/>
        </w:rPr>
      </w:pPr>
      <w:r w:rsidRPr="0038665A">
        <w:rPr>
          <w:bCs/>
        </w:rPr>
        <w:t>RAN WGs are in the process of coalescing the initial inputs on UE capabilities before actual discussion within the WGs</w:t>
      </w:r>
      <w:r>
        <w:rPr>
          <w:bCs/>
        </w:rPr>
        <w:t>, and hence it is timely for RAN Plenary to provide guidance on the general principles to be followed in the process.</w:t>
      </w:r>
      <w:bookmarkStart w:id="2" w:name="_GoBack"/>
      <w:bookmarkEnd w:id="2"/>
    </w:p>
    <w:p w14:paraId="1DB79CE8" w14:textId="1552C9DC" w:rsidR="00825CC1" w:rsidRDefault="0038665A" w:rsidP="0038665A">
      <w:r>
        <w:rPr>
          <w:bCs/>
        </w:rPr>
        <w:t xml:space="preserve">In general, </w:t>
      </w:r>
      <w:r w:rsidRPr="0038665A">
        <w:t>Rel-16 capabilities should apply lessons learned from Rel-15</w:t>
      </w:r>
      <w:r>
        <w:t xml:space="preserve"> to avoid running into similar fragmentation issues and to avoid spending excessive amount of meeting time for convergence on the final set of capabilities.</w:t>
      </w:r>
      <w:r w:rsidR="00FD4AE8">
        <w:t xml:space="preserve"> In part this is due to an attempt to closely follow the RRC configuration parameter structure for the UE capability definition. However</w:t>
      </w:r>
      <w:r w:rsidR="00AF67E1">
        <w:t>,</w:t>
      </w:r>
      <w:r w:rsidR="00FD4AE8">
        <w:t xml:space="preserve"> </w:t>
      </w:r>
      <w:r w:rsidR="00AF67E1">
        <w:t xml:space="preserve">it not </w:t>
      </w:r>
      <w:r w:rsidR="00FD4AE8">
        <w:t>requir</w:t>
      </w:r>
      <w:r w:rsidR="00AF67E1">
        <w:t>ed</w:t>
      </w:r>
      <w:r w:rsidR="00FD4AE8">
        <w:t xml:space="preserve"> to adopt such structure, and in fact it is not necessarily the most effective approach, given that it leads to non-trivial combinations of sub-features to implement most features</w:t>
      </w:r>
      <w:r w:rsidR="00AF67E1">
        <w:t xml:space="preserve"> in practice</w:t>
      </w:r>
      <w:r w:rsidR="00FD4AE8">
        <w:t>.</w:t>
      </w:r>
      <w:r>
        <w:t xml:space="preserve"> </w:t>
      </w:r>
      <w:r w:rsidR="00AF67E1">
        <w:t xml:space="preserve">It is thus important to ensure that there are meaningful capabilities that reflect implementable features, instead of scattered components. For example, one could </w:t>
      </w:r>
      <w:r w:rsidR="00AF67E1" w:rsidRPr="00825CC1">
        <w:t>define a basic minimum set which is implementable by a capability with add-ons described by additional capabilities</w:t>
      </w:r>
      <w:r w:rsidR="00AF67E1">
        <w:t>. Moreover, s</w:t>
      </w:r>
      <w:r w:rsidR="00FD4AE8">
        <w:t>uch fragmentation should be avoided by minimizing the number of sub-features</w:t>
      </w:r>
      <w:r w:rsidR="00AF67E1">
        <w:t xml:space="preserve"> in general</w:t>
      </w:r>
      <w:r w:rsidR="00825CC1">
        <w:t xml:space="preserve">, e.g. sub-features could be defined </w:t>
      </w:r>
      <w:r w:rsidR="00FD4AE8">
        <w:t>when there is a need to specify</w:t>
      </w:r>
      <w:r w:rsidR="00825CC1">
        <w:t xml:space="preserve"> mutually exclusive building blocks. Along the same lines, </w:t>
      </w:r>
    </w:p>
    <w:p w14:paraId="50F13DEC" w14:textId="6B763C71" w:rsidR="00825CC1" w:rsidRDefault="008118D7" w:rsidP="0038665A">
      <w:r w:rsidRPr="008118D7">
        <w:t xml:space="preserve">Another aspect that has generated significant work for RAN2 in Rel-15 is to ensure UE capability signalling size doesn't grow too fast. However, with the multitude of UE capabilities, RAN2 has been working on capability compression for Rel-16, which </w:t>
      </w:r>
      <w:r>
        <w:t xml:space="preserve">was </w:t>
      </w:r>
      <w:r w:rsidRPr="008118D7">
        <w:t xml:space="preserve">required mainly due to the large number of capabilities that are reported per band per band-combination, and hence the WGs should strive to minimize the number of UE capabilities which are </w:t>
      </w:r>
      <w:r w:rsidRPr="008118D7">
        <w:lastRenderedPageBreak/>
        <w:t>defined per band per band-combination when not strictly required.</w:t>
      </w:r>
      <w:r>
        <w:t xml:space="preserve"> </w:t>
      </w:r>
      <w:r w:rsidR="00A675FF">
        <w:t xml:space="preserve">Moreover, whenever there are combinations of UE capabilities to be taken into account, it is critical that the originating WG defines clearly what are the logical combinations of such capabilities, instead of expecting such work to be carried out by RAN2 independently. </w:t>
      </w:r>
    </w:p>
    <w:p w14:paraId="38DD2519" w14:textId="2A3275F2" w:rsidR="00A675FF" w:rsidRDefault="00A675FF" w:rsidP="0038665A">
      <w:r>
        <w:t xml:space="preserve">Finally, it is important to </w:t>
      </w:r>
      <w:r w:rsidRPr="00A675FF">
        <w:t>clearly define what it means when a UE does not support a given feature (e.g. define the fallback capability the network assumes in the form of a default capability if needed)</w:t>
      </w:r>
      <w:r>
        <w:t>. This information is very helpful for actual implementations and the lack of such information might require further clarification</w:t>
      </w:r>
      <w:r w:rsidR="00D91B29">
        <w:t xml:space="preserve"> work </w:t>
      </w:r>
      <w:r>
        <w:t xml:space="preserve">to </w:t>
      </w:r>
      <w:r w:rsidR="00D91B29">
        <w:t xml:space="preserve">be done </w:t>
      </w:r>
      <w:r>
        <w:t xml:space="preserve">during maintenance phase. </w:t>
      </w:r>
    </w:p>
    <w:p w14:paraId="68A5B65A" w14:textId="02D58D36" w:rsidR="00375B9D" w:rsidRDefault="0038665A" w:rsidP="0038665A">
      <w:r>
        <w:t xml:space="preserve">In </w:t>
      </w:r>
      <w:r w:rsidR="00A675FF">
        <w:t xml:space="preserve">short, </w:t>
      </w:r>
      <w:r>
        <w:t xml:space="preserve">we </w:t>
      </w:r>
      <w:r w:rsidR="00375B9D">
        <w:t>make the following proposal on how to move forward with Rel-16 capabilities:</w:t>
      </w:r>
    </w:p>
    <w:p w14:paraId="201DADDB" w14:textId="5992ECDD" w:rsidR="00FD4AE8" w:rsidRDefault="00375B9D" w:rsidP="00FD4AE8">
      <w:pPr>
        <w:rPr>
          <w:b/>
          <w:bCs/>
        </w:rPr>
      </w:pPr>
      <w:r w:rsidRPr="00375B9D">
        <w:rPr>
          <w:b/>
        </w:rPr>
        <w:t>Proposal</w:t>
      </w:r>
      <w:r w:rsidR="00FD4AE8">
        <w:rPr>
          <w:b/>
        </w:rPr>
        <w:t xml:space="preserve"> 1</w:t>
      </w:r>
      <w:r w:rsidRPr="00375B9D">
        <w:rPr>
          <w:b/>
        </w:rPr>
        <w:t xml:space="preserve">: </w:t>
      </w:r>
      <w:r w:rsidR="00FD4AE8" w:rsidRPr="00375B9D">
        <w:rPr>
          <w:b/>
          <w:bCs/>
        </w:rPr>
        <w:t>No need to force 1-to-1 relationship between UE capabilities and RRC</w:t>
      </w:r>
      <w:r w:rsidR="00FD4AE8">
        <w:rPr>
          <w:b/>
          <w:bCs/>
        </w:rPr>
        <w:t xml:space="preserve"> configuration</w:t>
      </w:r>
      <w:r w:rsidR="00FD4AE8" w:rsidRPr="00375B9D">
        <w:rPr>
          <w:b/>
          <w:bCs/>
        </w:rPr>
        <w:t xml:space="preserve"> parameters​, i.e. a single feature/capability may correspond to multiple RRC</w:t>
      </w:r>
      <w:r w:rsidR="00FD4AE8">
        <w:rPr>
          <w:b/>
          <w:bCs/>
        </w:rPr>
        <w:t xml:space="preserve"> configuration</w:t>
      </w:r>
      <w:r w:rsidR="00FD4AE8" w:rsidRPr="00375B9D">
        <w:rPr>
          <w:b/>
          <w:bCs/>
        </w:rPr>
        <w:t xml:space="preserve"> parameters, and a single RRC </w:t>
      </w:r>
      <w:r w:rsidR="00FD4AE8">
        <w:rPr>
          <w:b/>
          <w:bCs/>
        </w:rPr>
        <w:t xml:space="preserve">configuration </w:t>
      </w:r>
      <w:r w:rsidR="00FD4AE8" w:rsidRPr="00375B9D">
        <w:rPr>
          <w:b/>
          <w:bCs/>
        </w:rPr>
        <w:t>parameter may be used by different features. ​</w:t>
      </w:r>
    </w:p>
    <w:p w14:paraId="4F00C2BA" w14:textId="351716F2" w:rsidR="00FD4AE8" w:rsidRDefault="00FD4AE8" w:rsidP="00FD4AE8">
      <w:pPr>
        <w:rPr>
          <w:b/>
          <w:bCs/>
        </w:rPr>
      </w:pPr>
      <w:r>
        <w:rPr>
          <w:b/>
          <w:bCs/>
        </w:rPr>
        <w:t xml:space="preserve">Proposal 2: </w:t>
      </w:r>
      <w:r w:rsidRPr="00375B9D">
        <w:rPr>
          <w:b/>
          <w:bCs/>
        </w:rPr>
        <w:t>Avoid excessive fragmentation of features into sub-features</w:t>
      </w:r>
      <w:r>
        <w:rPr>
          <w:b/>
          <w:bCs/>
        </w:rPr>
        <w:t>.</w:t>
      </w:r>
    </w:p>
    <w:p w14:paraId="51D8202C" w14:textId="367043CC" w:rsidR="00FD4AE8" w:rsidRDefault="00FD4AE8" w:rsidP="00FD4AE8">
      <w:pPr>
        <w:rPr>
          <w:b/>
          <w:bCs/>
        </w:rPr>
      </w:pPr>
      <w:r>
        <w:rPr>
          <w:b/>
          <w:bCs/>
        </w:rPr>
        <w:t xml:space="preserve">Proposal 3: </w:t>
      </w:r>
      <w:r w:rsidRPr="00375B9D">
        <w:rPr>
          <w:b/>
          <w:bCs/>
        </w:rPr>
        <w:t>Ensure meaningful capabilities to reflect implementable features, instead of scattered components that need to be grouped for practical implementation</w:t>
      </w:r>
      <w:r>
        <w:rPr>
          <w:b/>
          <w:bCs/>
        </w:rPr>
        <w:t>.</w:t>
      </w:r>
    </w:p>
    <w:p w14:paraId="0BE5BEAE" w14:textId="01FDCD73" w:rsidR="00FD4AE8" w:rsidRDefault="00FD4AE8" w:rsidP="00FD4AE8">
      <w:pPr>
        <w:rPr>
          <w:b/>
          <w:bCs/>
        </w:rPr>
      </w:pPr>
      <w:r>
        <w:rPr>
          <w:b/>
          <w:bCs/>
        </w:rPr>
        <w:t>Proposal 4: Minimize the number of UE capabilities that are defined per band per band combination.</w:t>
      </w:r>
    </w:p>
    <w:p w14:paraId="00BF5347" w14:textId="6EDABBB5" w:rsidR="00FD4AE8" w:rsidRPr="00375B9D" w:rsidRDefault="00FD4AE8" w:rsidP="00AF67E1">
      <w:pPr>
        <w:rPr>
          <w:b/>
          <w:bCs/>
        </w:rPr>
      </w:pPr>
      <w:r>
        <w:rPr>
          <w:b/>
          <w:bCs/>
        </w:rPr>
        <w:t>Proposal 5: In case capabilities are inter-connected, ensure that the originating WG details how the capabilities and capability parameters can be combined.</w:t>
      </w:r>
    </w:p>
    <w:p w14:paraId="657A9A22" w14:textId="1DBFA792" w:rsidR="00A675FF" w:rsidRDefault="00FD4AE8" w:rsidP="00AF67E1">
      <w:pPr>
        <w:pStyle w:val="paragraph"/>
        <w:spacing w:before="0" w:beforeAutospacing="0" w:after="0" w:afterAutospacing="0"/>
        <w:textAlignment w:val="baseline"/>
        <w:rPr>
          <w:rFonts w:eastAsia="SimSun"/>
          <w:b/>
          <w:bCs/>
          <w:color w:val="000000"/>
          <w:sz w:val="20"/>
          <w:szCs w:val="20"/>
          <w:lang w:eastAsia="ja-JP"/>
        </w:rPr>
      </w:pPr>
      <w:r>
        <w:rPr>
          <w:rFonts w:eastAsia="SimSun"/>
          <w:b/>
          <w:bCs/>
          <w:color w:val="000000"/>
          <w:sz w:val="20"/>
          <w:szCs w:val="20"/>
          <w:lang w:eastAsia="ja-JP"/>
        </w:rPr>
        <w:t xml:space="preserve">Proposal 6: The originating WG should </w:t>
      </w:r>
      <w:r w:rsidR="00A675FF">
        <w:rPr>
          <w:rFonts w:eastAsia="SimSun"/>
          <w:b/>
          <w:bCs/>
          <w:color w:val="000000"/>
          <w:sz w:val="20"/>
          <w:szCs w:val="20"/>
          <w:lang w:eastAsia="ja-JP"/>
        </w:rPr>
        <w:t>clearly define what it means when a UE does not support a given feature</w:t>
      </w:r>
      <w:r>
        <w:rPr>
          <w:rFonts w:eastAsia="SimSun"/>
          <w:b/>
          <w:bCs/>
          <w:color w:val="000000"/>
          <w:sz w:val="20"/>
          <w:szCs w:val="20"/>
          <w:lang w:eastAsia="ja-JP"/>
        </w:rPr>
        <w:t>.</w:t>
      </w:r>
    </w:p>
    <w:p w14:paraId="7859A5BE" w14:textId="2DA35E72" w:rsidR="0038665A" w:rsidRDefault="0038665A" w:rsidP="007738B9">
      <w:pPr>
        <w:rPr>
          <w:b/>
          <w:lang w:val="en-US"/>
        </w:rPr>
      </w:pPr>
    </w:p>
    <w:p w14:paraId="6F6B11E1" w14:textId="77777777" w:rsidR="00825CC1" w:rsidRPr="00375B9D" w:rsidRDefault="00825CC1" w:rsidP="007738B9">
      <w:pPr>
        <w:rPr>
          <w:b/>
          <w:lang w:val="en-US"/>
        </w:rPr>
      </w:pPr>
    </w:p>
    <w:p w14:paraId="3D2F9380" w14:textId="23FB3224" w:rsidR="00460259" w:rsidRDefault="00460259" w:rsidP="00460259">
      <w:pPr>
        <w:pStyle w:val="Heading1"/>
      </w:pPr>
      <w:r>
        <w:t>Summary</w:t>
      </w:r>
    </w:p>
    <w:p w14:paraId="473CF233" w14:textId="23B21397" w:rsidR="00460259" w:rsidRPr="00AF67E1" w:rsidRDefault="0038665A" w:rsidP="00460259">
      <w:pPr>
        <w:rPr>
          <w:bCs/>
        </w:rPr>
      </w:pPr>
      <w:r w:rsidRPr="005C11C8">
        <w:rPr>
          <w:bCs/>
        </w:rPr>
        <w:t>In this contributio</w:t>
      </w:r>
      <w:r w:rsidR="00FD4AE8" w:rsidRPr="005C11C8">
        <w:rPr>
          <w:bCs/>
        </w:rPr>
        <w:t>n we have proposed potential directions on how the WGs should formulate the Rel-16 UE capabilities. The proposals are as follows:</w:t>
      </w:r>
    </w:p>
    <w:p w14:paraId="544E4BB7" w14:textId="77777777" w:rsidR="00FD4AE8" w:rsidRDefault="00FD4AE8" w:rsidP="00FD4AE8">
      <w:pPr>
        <w:rPr>
          <w:b/>
          <w:bCs/>
        </w:rPr>
      </w:pPr>
      <w:r w:rsidRPr="00375B9D">
        <w:rPr>
          <w:b/>
        </w:rPr>
        <w:t>Proposal</w:t>
      </w:r>
      <w:r>
        <w:rPr>
          <w:b/>
        </w:rPr>
        <w:t xml:space="preserve"> 1</w:t>
      </w:r>
      <w:r w:rsidRPr="00375B9D">
        <w:rPr>
          <w:b/>
        </w:rPr>
        <w:t xml:space="preserve">: </w:t>
      </w:r>
      <w:r w:rsidRPr="00375B9D">
        <w:rPr>
          <w:b/>
          <w:bCs/>
        </w:rPr>
        <w:t>No need to force 1-to-1 relationship between UE capabilities and RRC</w:t>
      </w:r>
      <w:r>
        <w:rPr>
          <w:b/>
          <w:bCs/>
        </w:rPr>
        <w:t xml:space="preserve"> configuration</w:t>
      </w:r>
      <w:r w:rsidRPr="00375B9D">
        <w:rPr>
          <w:b/>
          <w:bCs/>
        </w:rPr>
        <w:t xml:space="preserve"> parameters​, i.e. a single feature/capability may correspond to multiple RRC</w:t>
      </w:r>
      <w:r>
        <w:rPr>
          <w:b/>
          <w:bCs/>
        </w:rPr>
        <w:t xml:space="preserve"> configuration</w:t>
      </w:r>
      <w:r w:rsidRPr="00375B9D">
        <w:rPr>
          <w:b/>
          <w:bCs/>
        </w:rPr>
        <w:t xml:space="preserve"> parameters, and a single RRC </w:t>
      </w:r>
      <w:r>
        <w:rPr>
          <w:b/>
          <w:bCs/>
        </w:rPr>
        <w:t xml:space="preserve">configuration </w:t>
      </w:r>
      <w:r w:rsidRPr="00375B9D">
        <w:rPr>
          <w:b/>
          <w:bCs/>
        </w:rPr>
        <w:t>parameter may be used by different features. ​</w:t>
      </w:r>
    </w:p>
    <w:p w14:paraId="5ABB7BCD" w14:textId="77777777" w:rsidR="00FD4AE8" w:rsidRDefault="00FD4AE8" w:rsidP="00FD4AE8">
      <w:pPr>
        <w:rPr>
          <w:b/>
          <w:bCs/>
        </w:rPr>
      </w:pPr>
      <w:r>
        <w:rPr>
          <w:b/>
          <w:bCs/>
        </w:rPr>
        <w:t xml:space="preserve">Proposal 2: </w:t>
      </w:r>
      <w:r w:rsidRPr="00375B9D">
        <w:rPr>
          <w:b/>
          <w:bCs/>
        </w:rPr>
        <w:t>Avoid excessive fragmentation of features into sub-features</w:t>
      </w:r>
      <w:r>
        <w:rPr>
          <w:b/>
          <w:bCs/>
        </w:rPr>
        <w:t>.</w:t>
      </w:r>
    </w:p>
    <w:p w14:paraId="65895CE2" w14:textId="77777777" w:rsidR="00FD4AE8" w:rsidRDefault="00FD4AE8" w:rsidP="00FD4AE8">
      <w:pPr>
        <w:rPr>
          <w:b/>
          <w:bCs/>
        </w:rPr>
      </w:pPr>
      <w:r>
        <w:rPr>
          <w:b/>
          <w:bCs/>
        </w:rPr>
        <w:t xml:space="preserve">Proposal 3: </w:t>
      </w:r>
      <w:r w:rsidRPr="00375B9D">
        <w:rPr>
          <w:b/>
          <w:bCs/>
        </w:rPr>
        <w:t>Ensure meaningful capabilities to reflect implementable features, instead of scattered components that need to be grouped for practical implementation</w:t>
      </w:r>
      <w:r>
        <w:rPr>
          <w:b/>
          <w:bCs/>
        </w:rPr>
        <w:t>.</w:t>
      </w:r>
    </w:p>
    <w:p w14:paraId="61BD3C24" w14:textId="77777777" w:rsidR="00FD4AE8" w:rsidRDefault="00FD4AE8" w:rsidP="00FD4AE8">
      <w:pPr>
        <w:rPr>
          <w:b/>
          <w:bCs/>
        </w:rPr>
      </w:pPr>
      <w:r>
        <w:rPr>
          <w:b/>
          <w:bCs/>
        </w:rPr>
        <w:t>Proposal 4: Minimize the number of UE capabilities that are defined per band per band combination.</w:t>
      </w:r>
    </w:p>
    <w:p w14:paraId="33B91C74" w14:textId="77777777" w:rsidR="00FD4AE8" w:rsidRPr="00375B9D" w:rsidRDefault="00FD4AE8" w:rsidP="00FD4AE8">
      <w:pPr>
        <w:rPr>
          <w:b/>
          <w:bCs/>
        </w:rPr>
      </w:pPr>
      <w:r>
        <w:rPr>
          <w:b/>
          <w:bCs/>
        </w:rPr>
        <w:t>Proposal 5: In case capabilities are inter-connected, ensure that the originating WG details how the capabilities and capability parameters can be combined.</w:t>
      </w:r>
    </w:p>
    <w:p w14:paraId="5F854CC7" w14:textId="77777777" w:rsidR="00FD4AE8" w:rsidRDefault="00FD4AE8" w:rsidP="00FD4AE8">
      <w:pPr>
        <w:pStyle w:val="paragraph"/>
        <w:spacing w:before="0" w:beforeAutospacing="0" w:after="0" w:afterAutospacing="0"/>
        <w:textAlignment w:val="baseline"/>
        <w:rPr>
          <w:rFonts w:eastAsia="SimSun"/>
          <w:b/>
          <w:bCs/>
          <w:color w:val="000000"/>
          <w:sz w:val="20"/>
          <w:szCs w:val="20"/>
          <w:lang w:eastAsia="ja-JP"/>
        </w:rPr>
      </w:pPr>
      <w:r>
        <w:rPr>
          <w:rFonts w:eastAsia="SimSun"/>
          <w:b/>
          <w:bCs/>
          <w:color w:val="000000"/>
          <w:sz w:val="20"/>
          <w:szCs w:val="20"/>
          <w:lang w:eastAsia="ja-JP"/>
        </w:rPr>
        <w:t>Proposal 6: The originating WG should clearly define what it means when a UE does not support a given feature.</w:t>
      </w:r>
    </w:p>
    <w:p w14:paraId="1C92C7E6" w14:textId="77777777" w:rsidR="00FD4AE8" w:rsidRPr="0038665A" w:rsidRDefault="00FD4AE8" w:rsidP="00460259">
      <w:pPr>
        <w:rPr>
          <w:bCs/>
        </w:rPr>
      </w:pPr>
    </w:p>
    <w:p w14:paraId="10D17788" w14:textId="0C3E0DDA" w:rsidR="00CB16FB" w:rsidRDefault="00CB16FB" w:rsidP="006855E8">
      <w:pPr>
        <w:pStyle w:val="Heading1"/>
        <w:numPr>
          <w:ilvl w:val="0"/>
          <w:numId w:val="0"/>
        </w:numPr>
        <w:ind w:left="432" w:hanging="432"/>
      </w:pPr>
      <w:r>
        <w:t>References</w:t>
      </w:r>
    </w:p>
    <w:p w14:paraId="4C0DAFEA" w14:textId="5F25EE3A" w:rsidR="003D0048" w:rsidRPr="00375B9D" w:rsidRDefault="003D0048" w:rsidP="003D0048">
      <w:pPr>
        <w:ind w:left="432" w:hanging="432"/>
        <w:textAlignment w:val="auto"/>
      </w:pPr>
      <w:r w:rsidRPr="00375B9D">
        <w:t>[1]</w:t>
      </w:r>
      <w:r w:rsidRPr="00375B9D">
        <w:tab/>
      </w:r>
      <w:r w:rsidR="001068C5" w:rsidRPr="00375B9D">
        <w:t>RP-19</w:t>
      </w:r>
      <w:r w:rsidR="00375B9D" w:rsidRPr="00375B9D">
        <w:t>0273</w:t>
      </w:r>
      <w:r w:rsidRPr="00375B9D">
        <w:t xml:space="preserve">, </w:t>
      </w:r>
      <w:r w:rsidR="00375B9D" w:rsidRPr="00375B9D">
        <w:t>“</w:t>
      </w:r>
      <w:r w:rsidR="00375B9D" w:rsidRPr="00375B9D">
        <w:rPr>
          <w:i/>
        </w:rPr>
        <w:t>On the management of NR UE capabilities</w:t>
      </w:r>
      <w:r w:rsidR="00375B9D" w:rsidRPr="00375B9D">
        <w:t>,” Nokia, Nokia Shanghai Bell, Shenzhen, China, Mar. 2019</w:t>
      </w:r>
    </w:p>
    <w:p w14:paraId="77ED8E55" w14:textId="2837477E" w:rsidR="00211134" w:rsidRPr="00375B9D" w:rsidRDefault="00211134" w:rsidP="003D0048">
      <w:pPr>
        <w:ind w:left="432" w:hanging="432"/>
        <w:textAlignment w:val="auto"/>
      </w:pPr>
      <w:r w:rsidRPr="00375B9D">
        <w:t>[2]</w:t>
      </w:r>
      <w:r w:rsidRPr="00375B9D">
        <w:tab/>
        <w:t>RP-19</w:t>
      </w:r>
      <w:r w:rsidR="00375B9D" w:rsidRPr="00375B9D">
        <w:t>1353</w:t>
      </w:r>
      <w:r w:rsidRPr="00375B9D">
        <w:t xml:space="preserve">, </w:t>
      </w:r>
      <w:r w:rsidR="00375B9D" w:rsidRPr="00375B9D">
        <w:t>“</w:t>
      </w:r>
      <w:r w:rsidR="00375B9D" w:rsidRPr="00375B9D">
        <w:rPr>
          <w:i/>
        </w:rPr>
        <w:t>Handling of NR UE capabilities</w:t>
      </w:r>
      <w:r w:rsidRPr="00375B9D">
        <w:t>,</w:t>
      </w:r>
      <w:r w:rsidR="00375B9D" w:rsidRPr="00375B9D">
        <w:t>”</w:t>
      </w:r>
      <w:r w:rsidRPr="00375B9D">
        <w:t xml:space="preserve"> Nokia, Nokia Shanghai Bell</w:t>
      </w:r>
      <w:r w:rsidR="00375B9D" w:rsidRPr="00375B9D">
        <w:t>, Newport Beach, USA, Jun. 2019.</w:t>
      </w:r>
    </w:p>
    <w:p w14:paraId="64641431" w14:textId="7D8F8D89" w:rsidR="00375B9D" w:rsidRDefault="00375B9D" w:rsidP="003D0048">
      <w:pPr>
        <w:ind w:left="432" w:hanging="432"/>
        <w:textAlignment w:val="auto"/>
      </w:pPr>
      <w:r w:rsidRPr="00375B9D">
        <w:t>[3]</w:t>
      </w:r>
      <w:r w:rsidRPr="00375B9D">
        <w:tab/>
        <w:t>RP-191847, “</w:t>
      </w:r>
      <w:r w:rsidRPr="00375B9D">
        <w:rPr>
          <w:i/>
        </w:rPr>
        <w:t>Handling of NR UE capabilities,</w:t>
      </w:r>
      <w:r w:rsidRPr="00375B9D">
        <w:t>” SPRINT Corporation, Newport Beach, USA, Sep. 2019.</w:t>
      </w:r>
    </w:p>
    <w:p w14:paraId="3BCD8588" w14:textId="1E1889A2" w:rsidR="00637F04" w:rsidRPr="008D292D" w:rsidRDefault="00637F04" w:rsidP="003D0048">
      <w:pPr>
        <w:ind w:left="426" w:hanging="426"/>
        <w:textAlignment w:val="auto"/>
      </w:pPr>
    </w:p>
    <w:sectPr w:rsidR="00637F04" w:rsidRPr="008D292D"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83D0C" w14:textId="77777777" w:rsidR="00AB11E5" w:rsidRDefault="00AB11E5">
      <w:r>
        <w:separator/>
      </w:r>
    </w:p>
    <w:p w14:paraId="482AB7D2" w14:textId="77777777" w:rsidR="00AB11E5" w:rsidRDefault="00AB11E5"/>
  </w:endnote>
  <w:endnote w:type="continuationSeparator" w:id="0">
    <w:p w14:paraId="4AA5D508" w14:textId="77777777" w:rsidR="00AB11E5" w:rsidRDefault="00AB11E5">
      <w:r>
        <w:continuationSeparator/>
      </w:r>
    </w:p>
    <w:p w14:paraId="56EA6055" w14:textId="77777777" w:rsidR="00AB11E5" w:rsidRDefault="00AB11E5"/>
  </w:endnote>
  <w:endnote w:type="continuationNotice" w:id="1">
    <w:p w14:paraId="13F51365" w14:textId="77777777" w:rsidR="005E4642" w:rsidRDefault="005E4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BA1F0" w14:textId="77777777" w:rsidR="00AB11E5" w:rsidRDefault="00AB11E5">
      <w:r>
        <w:separator/>
      </w:r>
    </w:p>
    <w:p w14:paraId="75E02842" w14:textId="77777777" w:rsidR="00AB11E5" w:rsidRDefault="00AB11E5"/>
  </w:footnote>
  <w:footnote w:type="continuationSeparator" w:id="0">
    <w:p w14:paraId="3C2582A0" w14:textId="77777777" w:rsidR="00AB11E5" w:rsidRDefault="00AB11E5">
      <w:r>
        <w:continuationSeparator/>
      </w:r>
    </w:p>
    <w:p w14:paraId="0611134A" w14:textId="77777777" w:rsidR="00AB11E5" w:rsidRDefault="00AB11E5"/>
  </w:footnote>
  <w:footnote w:type="continuationNotice" w:id="1">
    <w:p w14:paraId="599D1CC8" w14:textId="77777777" w:rsidR="005E4642" w:rsidRDefault="005E4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452E21"/>
    <w:multiLevelType w:val="multilevel"/>
    <w:tmpl w:val="BF82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3"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1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19"/>
  </w:num>
  <w:num w:numId="4">
    <w:abstractNumId w:val="18"/>
  </w:num>
  <w:num w:numId="5">
    <w:abstractNumId w:val="14"/>
  </w:num>
  <w:num w:numId="6">
    <w:abstractNumId w:val="0"/>
  </w:num>
  <w:num w:numId="7">
    <w:abstractNumId w:val="6"/>
  </w:num>
  <w:num w:numId="8">
    <w:abstractNumId w:val="2"/>
  </w:num>
  <w:num w:numId="9">
    <w:abstractNumId w:val="9"/>
  </w:num>
  <w:num w:numId="10">
    <w:abstractNumId w:val="16"/>
  </w:num>
  <w:num w:numId="11">
    <w:abstractNumId w:val="12"/>
  </w:num>
  <w:num w:numId="12">
    <w:abstractNumId w:val="5"/>
  </w:num>
  <w:num w:numId="13">
    <w:abstractNumId w:val="1"/>
  </w:num>
  <w:num w:numId="14">
    <w:abstractNumId w:val="13"/>
  </w:num>
  <w:num w:numId="15">
    <w:abstractNumId w:val="10"/>
  </w:num>
  <w:num w:numId="16">
    <w:abstractNumId w:val="4"/>
  </w:num>
  <w:num w:numId="17">
    <w:abstractNumId w:val="7"/>
  </w:num>
  <w:num w:numId="18">
    <w:abstractNumId w:val="3"/>
  </w:num>
  <w:num w:numId="19">
    <w:abstractNumId w:val="15"/>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6C34"/>
    <w:rsid w:val="00056EB0"/>
    <w:rsid w:val="00057080"/>
    <w:rsid w:val="000572D1"/>
    <w:rsid w:val="00060704"/>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4AC"/>
    <w:rsid w:val="000B6E2A"/>
    <w:rsid w:val="000C0E07"/>
    <w:rsid w:val="000C1362"/>
    <w:rsid w:val="000C21B9"/>
    <w:rsid w:val="000C2587"/>
    <w:rsid w:val="000C3DF4"/>
    <w:rsid w:val="000C50B2"/>
    <w:rsid w:val="000C58F8"/>
    <w:rsid w:val="000C6060"/>
    <w:rsid w:val="000C6149"/>
    <w:rsid w:val="000C6AB1"/>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D6D"/>
    <w:rsid w:val="001845EA"/>
    <w:rsid w:val="00184960"/>
    <w:rsid w:val="00184E2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31AC"/>
    <w:rsid w:val="001B4360"/>
    <w:rsid w:val="001B456A"/>
    <w:rsid w:val="001B49A5"/>
    <w:rsid w:val="001B4B0F"/>
    <w:rsid w:val="001B7E82"/>
    <w:rsid w:val="001C19DF"/>
    <w:rsid w:val="001C28D1"/>
    <w:rsid w:val="001C37C6"/>
    <w:rsid w:val="001C4590"/>
    <w:rsid w:val="001C5C51"/>
    <w:rsid w:val="001C665A"/>
    <w:rsid w:val="001C67B1"/>
    <w:rsid w:val="001D0067"/>
    <w:rsid w:val="001D0660"/>
    <w:rsid w:val="001D0ED3"/>
    <w:rsid w:val="001D1E21"/>
    <w:rsid w:val="001D211A"/>
    <w:rsid w:val="001D32B9"/>
    <w:rsid w:val="001D56D0"/>
    <w:rsid w:val="001E08A2"/>
    <w:rsid w:val="001E2A06"/>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046B"/>
    <w:rsid w:val="00223137"/>
    <w:rsid w:val="0022453E"/>
    <w:rsid w:val="002251F6"/>
    <w:rsid w:val="00225896"/>
    <w:rsid w:val="0022689E"/>
    <w:rsid w:val="00226DC7"/>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2A29"/>
    <w:rsid w:val="00263ABB"/>
    <w:rsid w:val="00264844"/>
    <w:rsid w:val="00265E9F"/>
    <w:rsid w:val="00265FBA"/>
    <w:rsid w:val="00266694"/>
    <w:rsid w:val="002668E6"/>
    <w:rsid w:val="002671EA"/>
    <w:rsid w:val="00267AD3"/>
    <w:rsid w:val="00272A80"/>
    <w:rsid w:val="002758A4"/>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4AE"/>
    <w:rsid w:val="002E18CB"/>
    <w:rsid w:val="002E2017"/>
    <w:rsid w:val="002E221F"/>
    <w:rsid w:val="002E25D7"/>
    <w:rsid w:val="002E2F3B"/>
    <w:rsid w:val="002E35C3"/>
    <w:rsid w:val="002E6728"/>
    <w:rsid w:val="002F08B7"/>
    <w:rsid w:val="002F1406"/>
    <w:rsid w:val="002F39C7"/>
    <w:rsid w:val="002F435E"/>
    <w:rsid w:val="002F55FC"/>
    <w:rsid w:val="002F68FC"/>
    <w:rsid w:val="002F6B41"/>
    <w:rsid w:val="0030016B"/>
    <w:rsid w:val="0030249D"/>
    <w:rsid w:val="003032DB"/>
    <w:rsid w:val="00304922"/>
    <w:rsid w:val="0030664C"/>
    <w:rsid w:val="003067DF"/>
    <w:rsid w:val="0030772D"/>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69FF"/>
    <w:rsid w:val="003271CE"/>
    <w:rsid w:val="00331913"/>
    <w:rsid w:val="00334712"/>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4DA6"/>
    <w:rsid w:val="0036530D"/>
    <w:rsid w:val="00365E90"/>
    <w:rsid w:val="003673BF"/>
    <w:rsid w:val="003711EF"/>
    <w:rsid w:val="00371977"/>
    <w:rsid w:val="00371FD7"/>
    <w:rsid w:val="00372857"/>
    <w:rsid w:val="00372B7C"/>
    <w:rsid w:val="00373086"/>
    <w:rsid w:val="00375B9D"/>
    <w:rsid w:val="00375FC8"/>
    <w:rsid w:val="00376B13"/>
    <w:rsid w:val="003802A4"/>
    <w:rsid w:val="00381433"/>
    <w:rsid w:val="00382E93"/>
    <w:rsid w:val="0038476E"/>
    <w:rsid w:val="00386432"/>
    <w:rsid w:val="0038665A"/>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674A"/>
    <w:rsid w:val="003E7CA9"/>
    <w:rsid w:val="003F0566"/>
    <w:rsid w:val="003F1954"/>
    <w:rsid w:val="003F35CF"/>
    <w:rsid w:val="003F4E00"/>
    <w:rsid w:val="003F56FD"/>
    <w:rsid w:val="003F61EB"/>
    <w:rsid w:val="003F6341"/>
    <w:rsid w:val="00400157"/>
    <w:rsid w:val="004010DA"/>
    <w:rsid w:val="0040207E"/>
    <w:rsid w:val="00402085"/>
    <w:rsid w:val="004021FD"/>
    <w:rsid w:val="00404641"/>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42AD"/>
    <w:rsid w:val="0043577D"/>
    <w:rsid w:val="00435E44"/>
    <w:rsid w:val="00436527"/>
    <w:rsid w:val="00436EA9"/>
    <w:rsid w:val="00437DA1"/>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259"/>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86893"/>
    <w:rsid w:val="004931E3"/>
    <w:rsid w:val="00493241"/>
    <w:rsid w:val="00493E44"/>
    <w:rsid w:val="00496BF6"/>
    <w:rsid w:val="004A0146"/>
    <w:rsid w:val="004A10E3"/>
    <w:rsid w:val="004A345B"/>
    <w:rsid w:val="004A39CE"/>
    <w:rsid w:val="004A40BE"/>
    <w:rsid w:val="004A6A9A"/>
    <w:rsid w:val="004A6EDC"/>
    <w:rsid w:val="004A75B8"/>
    <w:rsid w:val="004A7629"/>
    <w:rsid w:val="004B0642"/>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7C7D"/>
    <w:rsid w:val="004E1F6E"/>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4299"/>
    <w:rsid w:val="0051648E"/>
    <w:rsid w:val="00516678"/>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52B"/>
    <w:rsid w:val="0055421D"/>
    <w:rsid w:val="00554D54"/>
    <w:rsid w:val="00555667"/>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1B58"/>
    <w:rsid w:val="005A2364"/>
    <w:rsid w:val="005A37BA"/>
    <w:rsid w:val="005A49F4"/>
    <w:rsid w:val="005A5552"/>
    <w:rsid w:val="005A5F44"/>
    <w:rsid w:val="005A601D"/>
    <w:rsid w:val="005A78CE"/>
    <w:rsid w:val="005A7D70"/>
    <w:rsid w:val="005B0627"/>
    <w:rsid w:val="005B2812"/>
    <w:rsid w:val="005B5523"/>
    <w:rsid w:val="005B7D95"/>
    <w:rsid w:val="005C11C8"/>
    <w:rsid w:val="005C378F"/>
    <w:rsid w:val="005C4B2A"/>
    <w:rsid w:val="005C4BA8"/>
    <w:rsid w:val="005D1ACB"/>
    <w:rsid w:val="005D5640"/>
    <w:rsid w:val="005D7699"/>
    <w:rsid w:val="005E2D8B"/>
    <w:rsid w:val="005E3172"/>
    <w:rsid w:val="005E3695"/>
    <w:rsid w:val="005E3795"/>
    <w:rsid w:val="005E3DD7"/>
    <w:rsid w:val="005E4642"/>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64C"/>
    <w:rsid w:val="00604ECC"/>
    <w:rsid w:val="00605D6A"/>
    <w:rsid w:val="00605FB1"/>
    <w:rsid w:val="0060655D"/>
    <w:rsid w:val="006066FC"/>
    <w:rsid w:val="0060700F"/>
    <w:rsid w:val="00614A3D"/>
    <w:rsid w:val="00614EA3"/>
    <w:rsid w:val="00615294"/>
    <w:rsid w:val="006212CD"/>
    <w:rsid w:val="00622C09"/>
    <w:rsid w:val="00623A4E"/>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4CD9"/>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85D90"/>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050B"/>
    <w:rsid w:val="006E1427"/>
    <w:rsid w:val="006E5655"/>
    <w:rsid w:val="006E6479"/>
    <w:rsid w:val="006E650B"/>
    <w:rsid w:val="006F107E"/>
    <w:rsid w:val="006F1A3B"/>
    <w:rsid w:val="006F3372"/>
    <w:rsid w:val="006F75AF"/>
    <w:rsid w:val="007014E6"/>
    <w:rsid w:val="00701A48"/>
    <w:rsid w:val="007020C5"/>
    <w:rsid w:val="00702101"/>
    <w:rsid w:val="00702DE1"/>
    <w:rsid w:val="00704AE7"/>
    <w:rsid w:val="00705AB9"/>
    <w:rsid w:val="00705C6B"/>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36B87"/>
    <w:rsid w:val="007427D3"/>
    <w:rsid w:val="007427ED"/>
    <w:rsid w:val="0074313A"/>
    <w:rsid w:val="007445D4"/>
    <w:rsid w:val="00744B0E"/>
    <w:rsid w:val="0074526D"/>
    <w:rsid w:val="00745951"/>
    <w:rsid w:val="00745AE6"/>
    <w:rsid w:val="007504B4"/>
    <w:rsid w:val="00752D8D"/>
    <w:rsid w:val="007539D3"/>
    <w:rsid w:val="00755373"/>
    <w:rsid w:val="00760622"/>
    <w:rsid w:val="00760A06"/>
    <w:rsid w:val="0076229E"/>
    <w:rsid w:val="00762561"/>
    <w:rsid w:val="00762A6C"/>
    <w:rsid w:val="00763560"/>
    <w:rsid w:val="007662D6"/>
    <w:rsid w:val="00766747"/>
    <w:rsid w:val="00767726"/>
    <w:rsid w:val="007708CF"/>
    <w:rsid w:val="00770969"/>
    <w:rsid w:val="007725E9"/>
    <w:rsid w:val="00773268"/>
    <w:rsid w:val="007738B9"/>
    <w:rsid w:val="007739B8"/>
    <w:rsid w:val="00777067"/>
    <w:rsid w:val="0078003F"/>
    <w:rsid w:val="0078095C"/>
    <w:rsid w:val="00781D60"/>
    <w:rsid w:val="00782AD5"/>
    <w:rsid w:val="00782E81"/>
    <w:rsid w:val="00783AE7"/>
    <w:rsid w:val="00783D89"/>
    <w:rsid w:val="00784FC5"/>
    <w:rsid w:val="007859DF"/>
    <w:rsid w:val="00786E37"/>
    <w:rsid w:val="00791557"/>
    <w:rsid w:val="00791BB3"/>
    <w:rsid w:val="0079270F"/>
    <w:rsid w:val="00792F6A"/>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F083C"/>
    <w:rsid w:val="007F4ADA"/>
    <w:rsid w:val="007F6EA5"/>
    <w:rsid w:val="00800910"/>
    <w:rsid w:val="00800C28"/>
    <w:rsid w:val="00800E63"/>
    <w:rsid w:val="008018EB"/>
    <w:rsid w:val="0080281E"/>
    <w:rsid w:val="00802860"/>
    <w:rsid w:val="008033FC"/>
    <w:rsid w:val="008034C9"/>
    <w:rsid w:val="008040B7"/>
    <w:rsid w:val="00804BAB"/>
    <w:rsid w:val="008066F5"/>
    <w:rsid w:val="00811329"/>
    <w:rsid w:val="008118D7"/>
    <w:rsid w:val="00814517"/>
    <w:rsid w:val="0081492E"/>
    <w:rsid w:val="00814F06"/>
    <w:rsid w:val="00816136"/>
    <w:rsid w:val="00817488"/>
    <w:rsid w:val="00820364"/>
    <w:rsid w:val="0082109B"/>
    <w:rsid w:val="0082124F"/>
    <w:rsid w:val="00821808"/>
    <w:rsid w:val="0082205F"/>
    <w:rsid w:val="00822470"/>
    <w:rsid w:val="008239E4"/>
    <w:rsid w:val="008258E0"/>
    <w:rsid w:val="00825CC1"/>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C1840"/>
    <w:rsid w:val="008C3C62"/>
    <w:rsid w:val="008C546C"/>
    <w:rsid w:val="008C5B2B"/>
    <w:rsid w:val="008C6BDD"/>
    <w:rsid w:val="008D11A3"/>
    <w:rsid w:val="008D1402"/>
    <w:rsid w:val="008D1881"/>
    <w:rsid w:val="008D2205"/>
    <w:rsid w:val="008D292D"/>
    <w:rsid w:val="008D3723"/>
    <w:rsid w:val="008D489D"/>
    <w:rsid w:val="008D7830"/>
    <w:rsid w:val="008D7862"/>
    <w:rsid w:val="008D7A76"/>
    <w:rsid w:val="008E03A3"/>
    <w:rsid w:val="008E05A2"/>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2259"/>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506E4"/>
    <w:rsid w:val="00950E92"/>
    <w:rsid w:val="00952D5C"/>
    <w:rsid w:val="0095308D"/>
    <w:rsid w:val="00953291"/>
    <w:rsid w:val="00953C1F"/>
    <w:rsid w:val="0095598A"/>
    <w:rsid w:val="00956D40"/>
    <w:rsid w:val="0095765D"/>
    <w:rsid w:val="009578FC"/>
    <w:rsid w:val="009609C7"/>
    <w:rsid w:val="0096167D"/>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B2"/>
    <w:rsid w:val="009E3AF7"/>
    <w:rsid w:val="009E3F6C"/>
    <w:rsid w:val="009E70C6"/>
    <w:rsid w:val="009E7476"/>
    <w:rsid w:val="009F1735"/>
    <w:rsid w:val="009F1E50"/>
    <w:rsid w:val="009F3781"/>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0B40"/>
    <w:rsid w:val="00A11082"/>
    <w:rsid w:val="00A114EC"/>
    <w:rsid w:val="00A129F5"/>
    <w:rsid w:val="00A14169"/>
    <w:rsid w:val="00A17558"/>
    <w:rsid w:val="00A177ED"/>
    <w:rsid w:val="00A17AAB"/>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761"/>
    <w:rsid w:val="00A61EE2"/>
    <w:rsid w:val="00A6226F"/>
    <w:rsid w:val="00A6236A"/>
    <w:rsid w:val="00A63972"/>
    <w:rsid w:val="00A64F9C"/>
    <w:rsid w:val="00A65F29"/>
    <w:rsid w:val="00A675FF"/>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876"/>
    <w:rsid w:val="00AA4A2C"/>
    <w:rsid w:val="00AA6B62"/>
    <w:rsid w:val="00AB11E5"/>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67E1"/>
    <w:rsid w:val="00AF7CB3"/>
    <w:rsid w:val="00B02DFA"/>
    <w:rsid w:val="00B03548"/>
    <w:rsid w:val="00B03A90"/>
    <w:rsid w:val="00B04587"/>
    <w:rsid w:val="00B04887"/>
    <w:rsid w:val="00B05907"/>
    <w:rsid w:val="00B06994"/>
    <w:rsid w:val="00B069B9"/>
    <w:rsid w:val="00B06D21"/>
    <w:rsid w:val="00B075E4"/>
    <w:rsid w:val="00B11CE2"/>
    <w:rsid w:val="00B15CC4"/>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6F5D"/>
    <w:rsid w:val="00BB75D3"/>
    <w:rsid w:val="00BC0EAC"/>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E718C"/>
    <w:rsid w:val="00BF0C46"/>
    <w:rsid w:val="00BF122D"/>
    <w:rsid w:val="00BF27A1"/>
    <w:rsid w:val="00BF29BF"/>
    <w:rsid w:val="00BF428F"/>
    <w:rsid w:val="00BF7195"/>
    <w:rsid w:val="00C0131A"/>
    <w:rsid w:val="00C0278A"/>
    <w:rsid w:val="00C02EE3"/>
    <w:rsid w:val="00C03D86"/>
    <w:rsid w:val="00C04272"/>
    <w:rsid w:val="00C0436F"/>
    <w:rsid w:val="00C04831"/>
    <w:rsid w:val="00C128C3"/>
    <w:rsid w:val="00C13A47"/>
    <w:rsid w:val="00C16774"/>
    <w:rsid w:val="00C16A3A"/>
    <w:rsid w:val="00C1773C"/>
    <w:rsid w:val="00C20C06"/>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1CD6"/>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45D5"/>
    <w:rsid w:val="00C74F39"/>
    <w:rsid w:val="00C76126"/>
    <w:rsid w:val="00C76186"/>
    <w:rsid w:val="00C76CF3"/>
    <w:rsid w:val="00C80915"/>
    <w:rsid w:val="00C82578"/>
    <w:rsid w:val="00C843BC"/>
    <w:rsid w:val="00C84553"/>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701"/>
    <w:rsid w:val="00D219AA"/>
    <w:rsid w:val="00D22FE7"/>
    <w:rsid w:val="00D234EF"/>
    <w:rsid w:val="00D23834"/>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1B29"/>
    <w:rsid w:val="00D9206C"/>
    <w:rsid w:val="00D9384B"/>
    <w:rsid w:val="00D93D23"/>
    <w:rsid w:val="00D93D8A"/>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1735"/>
    <w:rsid w:val="00DF38D0"/>
    <w:rsid w:val="00DF5222"/>
    <w:rsid w:val="00DF52E8"/>
    <w:rsid w:val="00DF74C8"/>
    <w:rsid w:val="00E0155E"/>
    <w:rsid w:val="00E01B0F"/>
    <w:rsid w:val="00E02A52"/>
    <w:rsid w:val="00E037C3"/>
    <w:rsid w:val="00E0425D"/>
    <w:rsid w:val="00E071F1"/>
    <w:rsid w:val="00E072D4"/>
    <w:rsid w:val="00E07E92"/>
    <w:rsid w:val="00E10F24"/>
    <w:rsid w:val="00E116C4"/>
    <w:rsid w:val="00E119DA"/>
    <w:rsid w:val="00E120E5"/>
    <w:rsid w:val="00E12B98"/>
    <w:rsid w:val="00E14BDF"/>
    <w:rsid w:val="00E16515"/>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416F"/>
    <w:rsid w:val="00F84506"/>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E59"/>
    <w:rsid w:val="00FD3493"/>
    <w:rsid w:val="00FD3B3D"/>
    <w:rsid w:val="00FD454F"/>
    <w:rsid w:val="00FD4AE8"/>
    <w:rsid w:val="00FD79F4"/>
    <w:rsid w:val="00FD7BF6"/>
    <w:rsid w:val="00FD7E67"/>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C1246E4"/>
  <w15:chartTrackingRefBased/>
  <w15:docId w15:val="{22E22CFB-2271-4634-8984-433415EBD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 w:type="paragraph" w:customStyle="1" w:styleId="paragraph">
    <w:name w:val="paragraph"/>
    <w:basedOn w:val="Normal"/>
    <w:rsid w:val="0038665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38665A"/>
  </w:style>
  <w:style w:type="character" w:customStyle="1" w:styleId="eop">
    <w:name w:val="eop"/>
    <w:basedOn w:val="DefaultParagraphFont"/>
    <w:rsid w:val="00386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8546063">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9" ma:contentTypeDescription="Create a new document." ma:contentTypeScope="" ma:versionID="0bfb7bd77783a325bafca1fdfd2e4ed7">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820502be2a45297648279af664e57b6d"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2.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3.xml><?xml version="1.0" encoding="utf-8"?>
<ds:datastoreItem xmlns:ds="http://schemas.openxmlformats.org/officeDocument/2006/customXml" ds:itemID="{6F423634-62E5-41F4-8CFC-29C4DC06BEF6}">
  <ds:schemaRefs>
    <ds:schemaRef ds:uri="http://schemas.microsoft.com/sharepoint/events"/>
  </ds:schemaRefs>
</ds:datastoreItem>
</file>

<file path=customXml/itemProps4.xml><?xml version="1.0" encoding="utf-8"?>
<ds:datastoreItem xmlns:ds="http://schemas.openxmlformats.org/officeDocument/2006/customXml" ds:itemID="{038C65B9-5FBD-4322-8B96-106B0F1DE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6.xml><?xml version="1.0" encoding="utf-8"?>
<ds:datastoreItem xmlns:ds="http://schemas.openxmlformats.org/officeDocument/2006/customXml" ds:itemID="{07BFEF19-D18E-4506-AEE2-404A3B0D2449}">
  <ds:schemaRefs>
    <ds:schemaRef ds:uri="9b35e4af-6f1e-436f-9533-0c519f21b230"/>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109d699c-9c6d-4eef-ab81-bfe25224c215"/>
    <ds:schemaRef ds:uri="71c5aaf6-e6ce-465b-b873-5148d2a4c105"/>
    <ds:schemaRef ds:uri="http://purl.org/dc/terms/"/>
    <ds:schemaRef ds:uri="http://purl.org/dc/dcmitype/"/>
  </ds:schemaRefs>
</ds:datastoreItem>
</file>

<file path=customXml/itemProps7.xml><?xml version="1.0" encoding="utf-8"?>
<ds:datastoreItem xmlns:ds="http://schemas.openxmlformats.org/officeDocument/2006/customXml" ds:itemID="{402E7685-C932-4570-BDA8-284556BD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1028</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Nokia Networks</cp:lastModifiedBy>
  <cp:revision>44</cp:revision>
  <cp:lastPrinted>2003-09-26T18:29:00Z</cp:lastPrinted>
  <dcterms:created xsi:type="dcterms:W3CDTF">2019-12-02T08:34:00Z</dcterms:created>
  <dcterms:modified xsi:type="dcterms:W3CDTF">2019-12-02T20:31:00Z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0x010100FAB03A38315ACD43A77092EB7608F100</vt:lpwstr>
  </property>
</Properties>
</file>